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EE" w:rsidRDefault="00AB575A">
      <w:bookmarkStart w:id="0" w:name="_GoBack"/>
      <w:r>
        <w:t xml:space="preserve">Referat fra </w:t>
      </w:r>
      <w:r w:rsidR="0025640C">
        <w:t>temadag</w:t>
      </w:r>
    </w:p>
    <w:p w:rsidR="00AB575A" w:rsidRDefault="00AB575A">
      <w:r w:rsidRPr="0025640C">
        <w:rPr>
          <w:b/>
        </w:rPr>
        <w:t>Hvordan legge til rette for en sunn alderdom</w:t>
      </w:r>
      <w:r>
        <w:t>.</w:t>
      </w:r>
    </w:p>
    <w:bookmarkEnd w:id="0"/>
    <w:p w:rsidR="00D25070" w:rsidRDefault="00D25070"/>
    <w:p w:rsidR="00145F76" w:rsidRDefault="00145F76" w:rsidP="00145F76">
      <w:pPr>
        <w:pStyle w:val="Default"/>
      </w:pP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t xml:space="preserve"> </w:t>
      </w:r>
      <w:r w:rsidRPr="00145F76">
        <w:rPr>
          <w:rFonts w:ascii="Times New Roman" w:hAnsi="Times New Roman" w:cs="Times New Roman"/>
          <w:b/>
          <w:sz w:val="20"/>
          <w:szCs w:val="20"/>
        </w:rPr>
        <w:t>Måltidet sammen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Hun satt og så på maten.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Den er kanskje god, tenkte hun, men hun var ikke sulten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og hun satt alene.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Hyggen de hadde da Han levde, smakte så godt.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Selv når maten ikke egentlig var så god, smakte selskapet bra.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Ikke det at det var en fest, men de var sammen. Smaken av kjærlighet. Den hverdagslige vi-er-to-følelsen.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Måltidet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>Sammen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 xml:space="preserve">Det smakte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>Om ikke noen kunne ha spist sammen med henne..?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45F76">
        <w:rPr>
          <w:rFonts w:ascii="Times New Roman" w:hAnsi="Times New Roman" w:cs="Times New Roman"/>
          <w:color w:val="auto"/>
          <w:sz w:val="20"/>
          <w:szCs w:val="20"/>
        </w:rPr>
        <w:t xml:space="preserve">Hun så ut av vinduet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45F76">
        <w:rPr>
          <w:rFonts w:ascii="Times New Roman" w:hAnsi="Times New Roman" w:cs="Times New Roman"/>
          <w:color w:val="auto"/>
          <w:sz w:val="20"/>
          <w:szCs w:val="20"/>
        </w:rPr>
        <w:t xml:space="preserve">Det var kaldt 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45F76">
        <w:rPr>
          <w:rFonts w:ascii="Times New Roman" w:hAnsi="Times New Roman" w:cs="Times New Roman"/>
          <w:color w:val="auto"/>
          <w:sz w:val="20"/>
          <w:szCs w:val="20"/>
        </w:rPr>
        <w:t>Hun spiste,</w:t>
      </w:r>
    </w:p>
    <w:p w:rsidR="00145F76" w:rsidRPr="00145F76" w:rsidRDefault="00145F76" w:rsidP="00145F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45F76">
        <w:rPr>
          <w:rFonts w:ascii="Times New Roman" w:hAnsi="Times New Roman" w:cs="Times New Roman"/>
          <w:color w:val="auto"/>
          <w:sz w:val="20"/>
          <w:szCs w:val="20"/>
        </w:rPr>
        <w:t>litt.</w:t>
      </w:r>
    </w:p>
    <w:p w:rsidR="00145F76" w:rsidRDefault="00145F76" w:rsidP="00145F76">
      <w:pPr>
        <w:rPr>
          <w:rFonts w:ascii="Times New Roman" w:hAnsi="Times New Roman" w:cs="Times New Roman"/>
          <w:sz w:val="20"/>
          <w:szCs w:val="20"/>
        </w:rPr>
      </w:pPr>
    </w:p>
    <w:p w:rsidR="00D25070" w:rsidRPr="00145F76" w:rsidRDefault="00145F76" w:rsidP="00145F76">
      <w:pPr>
        <w:rPr>
          <w:rFonts w:ascii="Times New Roman" w:hAnsi="Times New Roman" w:cs="Times New Roman"/>
          <w:sz w:val="20"/>
          <w:szCs w:val="20"/>
        </w:rPr>
      </w:pPr>
      <w:r w:rsidRPr="00145F76">
        <w:rPr>
          <w:rFonts w:ascii="Times New Roman" w:hAnsi="Times New Roman" w:cs="Times New Roman"/>
          <w:sz w:val="20"/>
          <w:szCs w:val="20"/>
        </w:rPr>
        <w:t>Dag Kjetil Øyna</w:t>
      </w:r>
    </w:p>
    <w:p w:rsidR="00D25070" w:rsidRDefault="00D25070"/>
    <w:p w:rsidR="00D25070" w:rsidRDefault="00D25070"/>
    <w:p w:rsidR="00AB575A" w:rsidRDefault="00060A3E">
      <w:r>
        <w:t>Diktet ovenfor ble brukt som innledning til temadagen som N</w:t>
      </w:r>
      <w:r w:rsidR="00AB575A">
        <w:t>ofima</w:t>
      </w:r>
      <w:r w:rsidR="00AB575A">
        <w:rPr>
          <w:rStyle w:val="Fotnotereferanse"/>
        </w:rPr>
        <w:footnoteReference w:id="1"/>
      </w:r>
      <w:r w:rsidR="00681C08">
        <w:t>sammen med NHO MAT og DRIKK</w:t>
      </w:r>
      <w:r>
        <w:t xml:space="preserve">E arrangerte den 2 februar 2017. </w:t>
      </w:r>
      <w:r w:rsidR="007D695A">
        <w:t>Hensikten med møtet var å fokusere på hvordan forskning, myndigheter og industri kan samarbeide for å ivareta eldres spesielle behov</w:t>
      </w:r>
      <w:r w:rsidR="00672829">
        <w:t>,</w:t>
      </w:r>
      <w:r w:rsidR="007D695A">
        <w:t xml:space="preserve"> </w:t>
      </w:r>
      <w:r w:rsidR="00B41762">
        <w:t xml:space="preserve">slik at den </w:t>
      </w:r>
      <w:r w:rsidR="007D695A">
        <w:t>mat</w:t>
      </w:r>
      <w:r w:rsidR="00B41762">
        <w:t xml:space="preserve"> de spiser ivaretar deres ernæringsmessige behov.</w:t>
      </w:r>
      <w:r w:rsidR="007D695A">
        <w:t xml:space="preserve"> </w:t>
      </w:r>
    </w:p>
    <w:p w:rsidR="00E33127" w:rsidRDefault="00E33127">
      <w:r>
        <w:t xml:space="preserve">Dårlig ernæringsmessig status særlig hos eldre på sykehus og sykehjem og </w:t>
      </w:r>
      <w:r w:rsidR="00C60F7E">
        <w:t>de negative effektene er velkjent og dokumentert;</w:t>
      </w:r>
    </w:p>
    <w:p w:rsidR="00C60F7E" w:rsidRDefault="00C60F7E"/>
    <w:p w:rsidR="00C60F7E" w:rsidRDefault="00C60F7E">
      <w:r w:rsidRPr="00C60F7E">
        <w:rPr>
          <w:noProof/>
          <w:lang w:eastAsia="nb-NO"/>
        </w:rPr>
        <w:drawing>
          <wp:inline distT="0" distB="0" distL="0" distR="0">
            <wp:extent cx="4860000" cy="29016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D" w:rsidRDefault="0046786D">
      <w:r>
        <w:br w:type="page"/>
      </w:r>
    </w:p>
    <w:p w:rsidR="00F46B9D" w:rsidRDefault="00F46B9D">
      <w:r>
        <w:lastRenderedPageBreak/>
        <w:t>Møtet var delt inn i 2 økter.</w:t>
      </w:r>
    </w:p>
    <w:p w:rsidR="00A553C0" w:rsidRDefault="00F46B9D">
      <w:r>
        <w:t>Den første var en presentasjon av enkelte forskningsresultater om aldring, fysiske og psykiske prosesse</w:t>
      </w:r>
      <w:r w:rsidR="00A553C0">
        <w:t xml:space="preserve">r som følger med aldringen, som lavere energibehov men økt behov for enkelte næringsstoffer, forandring i smak, lukt og tyggefunksjon. Ensomhet og depresjon vil også påvirke appetitten hos eldre. </w:t>
      </w:r>
    </w:p>
    <w:p w:rsidR="00A553C0" w:rsidRDefault="00A553C0">
      <w:r>
        <w:t xml:space="preserve">Det positive er at hjemmeboende friske eldre stort sett har et godt kosthold, men denne situasjon må vedlikeholdes. </w:t>
      </w:r>
      <w:r w:rsidR="0025640C">
        <w:t xml:space="preserve">Det </w:t>
      </w:r>
      <w:r w:rsidR="006E538E">
        <w:t>har</w:t>
      </w:r>
      <w:r w:rsidR="0025640C">
        <w:t xml:space="preserve"> lenge vært fokus på betydningen av å se ernæring og fysisk aktivitet i sammenheng. </w:t>
      </w:r>
      <w:r w:rsidR="006D3603">
        <w:t>Og trening har effekt hele livet.</w:t>
      </w:r>
    </w:p>
    <w:p w:rsidR="006D3603" w:rsidRDefault="006D3603"/>
    <w:p w:rsidR="0025640C" w:rsidRDefault="0025640C">
      <w:r>
        <w:t>Den andre økten var en presentasjon fra industrien</w:t>
      </w:r>
      <w:r w:rsidR="006E538E">
        <w:t xml:space="preserve"> av</w:t>
      </w:r>
      <w:r>
        <w:t xml:space="preserve"> hvordan de arbeider sammen med helsesektoren og den kommunale sektoren om mat som spesielt fokuserer på eldres behov, enten disse er på sykehjem, omsorgsboliger eller hjemmeboende eldre med kommunale hjemmehjelpsordninger. </w:t>
      </w:r>
    </w:p>
    <w:p w:rsidR="0025640C" w:rsidRDefault="0025640C"/>
    <w:p w:rsidR="00A553C0" w:rsidRDefault="00A553C0">
      <w:r>
        <w:t>Det ble vist en rekke tabeller og oversikter på</w:t>
      </w:r>
      <w:r w:rsidR="0025640C">
        <w:t xml:space="preserve"> temadagen, jeg har valgt å vise et par av dem</w:t>
      </w:r>
      <w:r w:rsidR="006D3603">
        <w:t xml:space="preserve">, fra presentasjonene fra forskere. </w:t>
      </w:r>
      <w:r w:rsidRPr="00A553C0">
        <w:rPr>
          <w:noProof/>
          <w:lang w:eastAsia="nb-NO"/>
        </w:rPr>
        <w:drawing>
          <wp:inline distT="0" distB="0" distL="0" distR="0">
            <wp:extent cx="4870800" cy="3150000"/>
            <wp:effectExtent l="0" t="0" r="635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00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603" w:rsidRPr="006D3603">
        <w:rPr>
          <w:noProof/>
          <w:lang w:eastAsia="nb-NO"/>
        </w:rPr>
        <w:drawing>
          <wp:inline distT="0" distB="0" distL="0" distR="0">
            <wp:extent cx="4896000" cy="306000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9D" w:rsidRDefault="00F46B9D">
      <w:r>
        <w:t xml:space="preserve"> </w:t>
      </w:r>
    </w:p>
    <w:p w:rsidR="00F46B9D" w:rsidRDefault="00F46B9D"/>
    <w:p w:rsidR="00C60F7E" w:rsidRDefault="00C60F7E">
      <w:r w:rsidRPr="00A553C0">
        <w:rPr>
          <w:noProof/>
          <w:lang w:eastAsia="nb-NO"/>
        </w:rPr>
        <w:lastRenderedPageBreak/>
        <w:drawing>
          <wp:inline distT="0" distB="0" distL="0" distR="0" wp14:anchorId="02E9BD14" wp14:editId="5C076615">
            <wp:extent cx="4726800" cy="1468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10" b="27407"/>
                    <a:stretch/>
                  </pic:blipFill>
                  <pic:spPr bwMode="auto">
                    <a:xfrm>
                      <a:off x="0" y="0"/>
                      <a:ext cx="47268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F7E" w:rsidRDefault="00C60F7E"/>
    <w:p w:rsidR="006D3603" w:rsidRDefault="006D3603">
      <w:r>
        <w:t>Konklusjonen på møtet må være at det er viktig for oss å fortsette å spise som anbefalt av myndighetene så lenge som mulig.</w:t>
      </w:r>
      <w:r w:rsidR="00672829">
        <w:t xml:space="preserve"> </w:t>
      </w:r>
      <w:r w:rsidR="002E4296">
        <w:t xml:space="preserve">Og å være fysisk aktive etter evne. Den dag vi </w:t>
      </w:r>
      <w:r w:rsidR="00D508C0">
        <w:t xml:space="preserve">ikke klarer det lenger vil det finnes tilbud av matvarer som gir oss de tilskudd av næringsstoffer vi kan ha behov for, vi er helt klart et markedspotensial.  </w:t>
      </w:r>
    </w:p>
    <w:p w:rsidR="00DD41EF" w:rsidRDefault="00DD41EF"/>
    <w:p w:rsidR="00C60F7E" w:rsidRDefault="00C60F7E">
      <w:r>
        <w:t xml:space="preserve">Helse og Sosialutvalget er på linje med myndighetene når det gjelder kost og kosthold </w:t>
      </w:r>
      <w:r w:rsidR="006E538E">
        <w:t>og anbefaler</w:t>
      </w:r>
      <w:r w:rsidR="00DD41EF">
        <w:t xml:space="preserve"> </w:t>
      </w:r>
    </w:p>
    <w:p w:rsidR="001A3E44" w:rsidRDefault="001A3E44">
      <w:pPr>
        <w:rPr>
          <w:noProof/>
          <w:lang w:eastAsia="nb-NO"/>
        </w:rPr>
      </w:pPr>
    </w:p>
    <w:p w:rsidR="001A3E44" w:rsidRDefault="00672829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3F557F5" wp14:editId="163C1405">
            <wp:simplePos x="0" y="0"/>
            <wp:positionH relativeFrom="column">
              <wp:posOffset>0</wp:posOffset>
            </wp:positionH>
            <wp:positionV relativeFrom="page">
              <wp:posOffset>3833495</wp:posOffset>
            </wp:positionV>
            <wp:extent cx="2520000" cy="1267200"/>
            <wp:effectExtent l="0" t="0" r="0" b="9525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E44" w:rsidRDefault="001A3E44">
      <w:pPr>
        <w:rPr>
          <w:noProof/>
          <w:lang w:eastAsia="nb-NO"/>
        </w:rPr>
      </w:pPr>
    </w:p>
    <w:p w:rsidR="001A3E44" w:rsidRDefault="001A3E44">
      <w:pPr>
        <w:rPr>
          <w:noProof/>
          <w:lang w:eastAsia="nb-NO"/>
        </w:rPr>
      </w:pPr>
    </w:p>
    <w:p w:rsidR="001A3E44" w:rsidRDefault="001A3E44">
      <w:pPr>
        <w:rPr>
          <w:noProof/>
          <w:lang w:eastAsia="nb-NO"/>
        </w:rPr>
      </w:pPr>
    </w:p>
    <w:p w:rsidR="001A3E44" w:rsidRDefault="001A3E44">
      <w:pPr>
        <w:rPr>
          <w:noProof/>
          <w:lang w:eastAsia="nb-NO"/>
        </w:rPr>
      </w:pPr>
    </w:p>
    <w:p w:rsidR="001A3E44" w:rsidRDefault="001A3E44">
      <w:pPr>
        <w:rPr>
          <w:noProof/>
          <w:lang w:eastAsia="nb-NO"/>
        </w:rPr>
      </w:pPr>
    </w:p>
    <w:p w:rsidR="006E538E" w:rsidRDefault="006E538E">
      <w:pPr>
        <w:rPr>
          <w:noProof/>
          <w:lang w:eastAsia="nb-NO"/>
        </w:rPr>
      </w:pPr>
    </w:p>
    <w:p w:rsidR="00672829" w:rsidRDefault="00672829">
      <w:pPr>
        <w:rPr>
          <w:noProof/>
          <w:lang w:eastAsia="nb-NO"/>
        </w:rPr>
      </w:pPr>
    </w:p>
    <w:p w:rsidR="00825812" w:rsidRDefault="00825812">
      <w:pPr>
        <w:rPr>
          <w:noProof/>
          <w:lang w:eastAsia="nb-NO"/>
        </w:rPr>
      </w:pPr>
    </w:p>
    <w:p w:rsidR="006D3603" w:rsidRDefault="001A3E44">
      <w:pPr>
        <w:rPr>
          <w:noProof/>
          <w:lang w:eastAsia="nb-NO"/>
        </w:rPr>
      </w:pPr>
      <w:r>
        <w:rPr>
          <w:noProof/>
          <w:lang w:eastAsia="nb-NO"/>
        </w:rPr>
        <w:t>Til sl</w:t>
      </w:r>
      <w:r w:rsidR="00052062">
        <w:rPr>
          <w:noProof/>
          <w:lang w:eastAsia="nb-NO"/>
        </w:rPr>
        <w:t>utt en liten oppskrift som dere</w:t>
      </w:r>
      <w:r>
        <w:rPr>
          <w:noProof/>
          <w:lang w:eastAsia="nb-NO"/>
        </w:rPr>
        <w:t xml:space="preserve">an prøve til middag en dag når dere føler for å inviteter noen på middag. </w:t>
      </w:r>
      <w:r w:rsidR="000927C2">
        <w:rPr>
          <w:noProof/>
          <w:lang w:eastAsia="nb-NO"/>
        </w:rPr>
        <w:t>Tar litt tid men som pensjonister kan vi koste på oss å bruke litt tid på god mat.</w:t>
      </w:r>
      <w:r w:rsidR="001017BA">
        <w:rPr>
          <w:noProof/>
          <w:lang w:eastAsia="nb-NO"/>
        </w:rPr>
        <w:t xml:space="preserve"> </w:t>
      </w:r>
      <w:r w:rsidR="00052062">
        <w:rPr>
          <w:noProof/>
          <w:lang w:eastAsia="nb-NO"/>
        </w:rPr>
        <w:t xml:space="preserve">Oppskriften </w:t>
      </w:r>
      <w:r w:rsidR="001017BA">
        <w:rPr>
          <w:noProof/>
          <w:lang w:eastAsia="nb-NO"/>
        </w:rPr>
        <w:t>er Ingrid Roel</w:t>
      </w:r>
      <w:r w:rsidR="00052062">
        <w:rPr>
          <w:noProof/>
          <w:lang w:eastAsia="nb-NO"/>
        </w:rPr>
        <w:t>’</w:t>
      </w:r>
      <w:r w:rsidR="001017BA">
        <w:rPr>
          <w:noProof/>
          <w:lang w:eastAsia="nb-NO"/>
        </w:rPr>
        <w:t xml:space="preserve">s. </w:t>
      </w:r>
    </w:p>
    <w:p w:rsidR="000927C2" w:rsidRDefault="000927C2">
      <w:pPr>
        <w:rPr>
          <w:noProof/>
          <w:lang w:eastAsia="nb-NO"/>
        </w:rPr>
      </w:pPr>
    </w:p>
    <w:p w:rsidR="000927C2" w:rsidRPr="001017BA" w:rsidRDefault="000927C2" w:rsidP="000927C2">
      <w:pPr>
        <w:pStyle w:val="Rentekst"/>
        <w:rPr>
          <w:b/>
        </w:rPr>
      </w:pPr>
      <w:r w:rsidRPr="001017BA">
        <w:rPr>
          <w:b/>
        </w:rPr>
        <w:t>Reinsdyrfilet på kremet grønnsakseng</w:t>
      </w:r>
    </w:p>
    <w:p w:rsidR="000927C2" w:rsidRDefault="000927C2" w:rsidP="000927C2">
      <w:pPr>
        <w:pStyle w:val="Ren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829" w:rsidTr="008258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4 biffer av indrefilet hver på 150gr-200gr.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smør til steking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salt og pepper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en potte frisk timian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Grønnsakseng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2 gulerøtter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1/4 kålrot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1løk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1/2 purre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Ca 100gr brokkoli i buketter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Ca 100 gr blomkål  i bukketter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Smør til steking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2 1/2 kremfløte eller matfløte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Salt pepper</w:t>
            </w:r>
          </w:p>
          <w:p w:rsidR="00672829" w:rsidRDefault="00672829" w:rsidP="000927C2">
            <w:pPr>
              <w:pStyle w:val="Rentekst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Fremgangsmåte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Rens gulerøtter, kålrotog  og purre  og skjær dem i fine strimler.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Skjær løken i kløfter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Del brokkoli og blomkål i små bukketter.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Hakk frisk timian.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 xml:space="preserve">Brun smøret. Legg biffene i den varme stekepannen og stek dem godt brune på 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begge sider.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Dryss timian salt og pepper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 xml:space="preserve">Sett biffene inn i varm ovn på et stekebrett på 200grader C i 5 til 8 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minutter.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Ta dem ut av ovnen og la dem hvile under klede i noen minnutter.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Brun nytt  smør i pannen og stek grønnsakene gyldne</w:t>
            </w: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Slå over fløten og la de småkoke til de er møre ( men forsatt er faste)</w:t>
            </w:r>
          </w:p>
          <w:p w:rsidR="00672829" w:rsidRDefault="00672829" w:rsidP="00672829">
            <w:pPr>
              <w:pStyle w:val="Rentekst"/>
            </w:pPr>
          </w:p>
          <w:p w:rsidR="00672829" w:rsidRPr="00672829" w:rsidRDefault="00672829" w:rsidP="00672829">
            <w:pPr>
              <w:pStyle w:val="Rentekst"/>
              <w:rPr>
                <w:sz w:val="20"/>
                <w:szCs w:val="20"/>
              </w:rPr>
            </w:pPr>
            <w:r w:rsidRPr="00672829">
              <w:rPr>
                <w:sz w:val="20"/>
                <w:szCs w:val="20"/>
              </w:rPr>
              <w:t>Smak til med salt,pepper og timian</w:t>
            </w:r>
          </w:p>
          <w:p w:rsidR="00672829" w:rsidRDefault="00672829" w:rsidP="000927C2">
            <w:pPr>
              <w:pStyle w:val="Rentekst"/>
            </w:pPr>
          </w:p>
        </w:tc>
      </w:tr>
    </w:tbl>
    <w:p w:rsidR="000927C2" w:rsidRDefault="000927C2" w:rsidP="00825812">
      <w:pPr>
        <w:pStyle w:val="Rentekst"/>
      </w:pPr>
    </w:p>
    <w:sectPr w:rsidR="000927C2" w:rsidSect="0082581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26" w:rsidRDefault="00447826" w:rsidP="00AB575A">
      <w:r>
        <w:separator/>
      </w:r>
    </w:p>
  </w:endnote>
  <w:endnote w:type="continuationSeparator" w:id="0">
    <w:p w:rsidR="00447826" w:rsidRDefault="00447826" w:rsidP="00A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26" w:rsidRDefault="00447826" w:rsidP="00AB575A">
      <w:r>
        <w:separator/>
      </w:r>
    </w:p>
  </w:footnote>
  <w:footnote w:type="continuationSeparator" w:id="0">
    <w:p w:rsidR="00447826" w:rsidRDefault="00447826" w:rsidP="00AB575A">
      <w:r>
        <w:continuationSeparator/>
      </w:r>
    </w:p>
  </w:footnote>
  <w:footnote w:id="1">
    <w:p w:rsidR="00673F8E" w:rsidRPr="00673F8E" w:rsidRDefault="00AB575A" w:rsidP="00681C08">
      <w:pPr>
        <w:rPr>
          <w:rFonts w:ascii="Times New Roman" w:eastAsiaTheme="minorHAnsi" w:hAnsi="Times New Roman"/>
          <w:sz w:val="20"/>
          <w:szCs w:val="20"/>
        </w:rPr>
      </w:pPr>
      <w:r>
        <w:rPr>
          <w:rStyle w:val="Fotnotereferanse"/>
        </w:rPr>
        <w:footnoteRef/>
      </w:r>
      <w:r>
        <w:t xml:space="preserve"> </w:t>
      </w:r>
      <w:r w:rsidRPr="00AB575A">
        <w:rPr>
          <w:rFonts w:ascii="Times New Roman" w:hAnsi="Times New Roman"/>
          <w:sz w:val="20"/>
          <w:szCs w:val="20"/>
        </w:rPr>
        <w:t>Nofima er et av Europas største næringsrettede forskningsinstitutt som driver forskning og utvikling for</w:t>
      </w:r>
      <w:r w:rsidR="00673F8E">
        <w:rPr>
          <w:sz w:val="20"/>
          <w:szCs w:val="20"/>
        </w:rPr>
        <w:t xml:space="preserve"> a</w:t>
      </w:r>
      <w:r w:rsidRPr="00AB575A">
        <w:rPr>
          <w:rFonts w:ascii="Times New Roman" w:hAnsi="Times New Roman"/>
          <w:sz w:val="20"/>
          <w:szCs w:val="20"/>
        </w:rPr>
        <w:t>kvakulturnæringen, fiskerinæringen og matindustrien</w:t>
      </w:r>
      <w:r>
        <w:rPr>
          <w:rFonts w:ascii="Verdana" w:hAnsi="Verdana"/>
          <w:sz w:val="30"/>
          <w:szCs w:val="30"/>
        </w:rPr>
        <w:t>.</w:t>
      </w:r>
      <w:r w:rsidR="00673F8E" w:rsidRPr="00673F8E">
        <w:rPr>
          <w:rFonts w:ascii="Open Sans" w:hAnsi="Open Sans"/>
          <w:color w:val="363636"/>
        </w:rPr>
        <w:t xml:space="preserve"> </w:t>
      </w:r>
      <w:r w:rsidR="00673F8E" w:rsidRPr="00673F8E">
        <w:rPr>
          <w:rFonts w:ascii="Times New Roman" w:eastAsiaTheme="minorHAnsi" w:hAnsi="Times New Roman"/>
          <w:sz w:val="20"/>
          <w:szCs w:val="20"/>
        </w:rPr>
        <w:t>Nofima AS er eid av:Staten v/</w:t>
      </w:r>
      <w:hyperlink r:id="rId1" w:history="1">
        <w:r w:rsidR="00673F8E" w:rsidRPr="00673F8E">
          <w:rPr>
            <w:rFonts w:ascii="Times New Roman" w:eastAsiaTheme="minorHAnsi" w:hAnsi="Times New Roman"/>
            <w:sz w:val="20"/>
            <w:szCs w:val="20"/>
          </w:rPr>
          <w:t>Nærings- og fiskeridepartementet</w:t>
        </w:r>
      </w:hyperlink>
      <w:r w:rsidR="00673F8E" w:rsidRPr="00673F8E">
        <w:rPr>
          <w:rFonts w:ascii="Times New Roman" w:eastAsiaTheme="minorHAnsi" w:hAnsi="Times New Roman"/>
          <w:sz w:val="20"/>
          <w:szCs w:val="20"/>
        </w:rPr>
        <w:t xml:space="preserve"> : 56,8 %</w:t>
      </w:r>
      <w:r w:rsidR="00673F8E">
        <w:rPr>
          <w:sz w:val="20"/>
          <w:szCs w:val="20"/>
        </w:rPr>
        <w:t xml:space="preserve">, </w:t>
      </w:r>
      <w:hyperlink r:id="rId2" w:history="1">
        <w:r w:rsidR="00673F8E" w:rsidRPr="00673F8E">
          <w:rPr>
            <w:rFonts w:ascii="Times New Roman" w:eastAsiaTheme="minorHAnsi" w:hAnsi="Times New Roman"/>
            <w:sz w:val="20"/>
            <w:szCs w:val="20"/>
          </w:rPr>
          <w:t>Stiftelsen for landbrukets næringsmiddelforskning</w:t>
        </w:r>
      </w:hyperlink>
      <w:r w:rsidR="00673F8E" w:rsidRPr="00673F8E">
        <w:rPr>
          <w:rFonts w:ascii="Times New Roman" w:eastAsiaTheme="minorHAnsi" w:hAnsi="Times New Roman"/>
          <w:sz w:val="20"/>
          <w:szCs w:val="20"/>
        </w:rPr>
        <w:t>: 33,2 %</w:t>
      </w:r>
      <w:r w:rsidR="00673F8E">
        <w:rPr>
          <w:sz w:val="20"/>
          <w:szCs w:val="20"/>
        </w:rPr>
        <w:t xml:space="preserve"> , </w:t>
      </w:r>
      <w:hyperlink r:id="rId3" w:history="1">
        <w:r w:rsidR="00673F8E" w:rsidRPr="00673F8E">
          <w:rPr>
            <w:rFonts w:ascii="Times New Roman" w:eastAsiaTheme="minorHAnsi" w:hAnsi="Times New Roman"/>
            <w:sz w:val="20"/>
            <w:szCs w:val="20"/>
          </w:rPr>
          <w:t>Akvainvest Møre og Romsdal</w:t>
        </w:r>
      </w:hyperlink>
      <w:r w:rsidR="00673F8E" w:rsidRPr="00673F8E">
        <w:rPr>
          <w:rFonts w:ascii="Times New Roman" w:eastAsiaTheme="minorHAnsi" w:hAnsi="Times New Roman"/>
          <w:sz w:val="20"/>
          <w:szCs w:val="20"/>
        </w:rPr>
        <w:t>: 10,0 %</w:t>
      </w:r>
    </w:p>
    <w:p w:rsidR="00AB575A" w:rsidRDefault="00AB575A" w:rsidP="00673F8E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7312"/>
      <w:docPartObj>
        <w:docPartGallery w:val="Page Numbers (Top of Page)"/>
        <w:docPartUnique/>
      </w:docPartObj>
    </w:sdtPr>
    <w:sdtEndPr/>
    <w:sdtContent>
      <w:p w:rsidR="006E538E" w:rsidRDefault="006E538E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41">
          <w:rPr>
            <w:noProof/>
          </w:rPr>
          <w:t>2</w:t>
        </w:r>
        <w:r>
          <w:fldChar w:fldCharType="end"/>
        </w:r>
      </w:p>
    </w:sdtContent>
  </w:sdt>
  <w:p w:rsidR="006E538E" w:rsidRDefault="006E53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4CD2"/>
    <w:multiLevelType w:val="multilevel"/>
    <w:tmpl w:val="B05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C2"/>
    <w:rsid w:val="00052062"/>
    <w:rsid w:val="00060A3E"/>
    <w:rsid w:val="000927C2"/>
    <w:rsid w:val="00095C1F"/>
    <w:rsid w:val="000E0BE8"/>
    <w:rsid w:val="000E149F"/>
    <w:rsid w:val="001017BA"/>
    <w:rsid w:val="00145F76"/>
    <w:rsid w:val="001A3E44"/>
    <w:rsid w:val="00213E2D"/>
    <w:rsid w:val="00225EAF"/>
    <w:rsid w:val="0025640C"/>
    <w:rsid w:val="002E4296"/>
    <w:rsid w:val="00356DC2"/>
    <w:rsid w:val="00447826"/>
    <w:rsid w:val="0046786D"/>
    <w:rsid w:val="00672829"/>
    <w:rsid w:val="00673F8E"/>
    <w:rsid w:val="00681C08"/>
    <w:rsid w:val="006A2A90"/>
    <w:rsid w:val="006D3603"/>
    <w:rsid w:val="006E538E"/>
    <w:rsid w:val="007D695A"/>
    <w:rsid w:val="00825812"/>
    <w:rsid w:val="00851A41"/>
    <w:rsid w:val="008E433A"/>
    <w:rsid w:val="009941EE"/>
    <w:rsid w:val="00A553C0"/>
    <w:rsid w:val="00A74862"/>
    <w:rsid w:val="00AB575A"/>
    <w:rsid w:val="00B41762"/>
    <w:rsid w:val="00C60F7E"/>
    <w:rsid w:val="00D25070"/>
    <w:rsid w:val="00D508C0"/>
    <w:rsid w:val="00DD41EF"/>
    <w:rsid w:val="00E33127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F9C8-2E25-4BF5-AE31-5B82D38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3F8E"/>
  </w:style>
  <w:style w:type="paragraph" w:styleId="Overskrift1">
    <w:name w:val="heading 1"/>
    <w:basedOn w:val="Normal"/>
    <w:next w:val="Normal"/>
    <w:link w:val="Overskrift1Tegn"/>
    <w:uiPriority w:val="9"/>
    <w:qFormat/>
    <w:rsid w:val="00673F8E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3F8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3F8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3F8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3F8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3F8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3F8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3F8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3F8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575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575A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575A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575A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3F8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73F8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3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73F8E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73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73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3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3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3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3F8E"/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673F8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673F8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3F8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3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673F8E"/>
    <w:rPr>
      <w:b/>
      <w:bCs/>
    </w:rPr>
  </w:style>
  <w:style w:type="character" w:styleId="Utheving">
    <w:name w:val="Emphasis"/>
    <w:basedOn w:val="Standardskriftforavsnitt"/>
    <w:uiPriority w:val="20"/>
    <w:qFormat/>
    <w:rsid w:val="00673F8E"/>
    <w:rPr>
      <w:i/>
      <w:iCs/>
    </w:rPr>
  </w:style>
  <w:style w:type="paragraph" w:styleId="Ingenmellomrom">
    <w:name w:val="No Spacing"/>
    <w:uiPriority w:val="1"/>
    <w:qFormat/>
    <w:rsid w:val="00673F8E"/>
  </w:style>
  <w:style w:type="paragraph" w:styleId="Sitat">
    <w:name w:val="Quote"/>
    <w:basedOn w:val="Normal"/>
    <w:next w:val="Normal"/>
    <w:link w:val="SitatTegn"/>
    <w:uiPriority w:val="29"/>
    <w:qFormat/>
    <w:rsid w:val="00673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73F8E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73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3F8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73F8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73F8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73F8E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73F8E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673F8E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3F8E"/>
    <w:pPr>
      <w:outlineLvl w:val="9"/>
    </w:pPr>
  </w:style>
  <w:style w:type="paragraph" w:customStyle="1" w:styleId="Default">
    <w:name w:val="Default"/>
    <w:rsid w:val="00D25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0927C2"/>
    <w:rPr>
      <w:rFonts w:ascii="Calibri" w:eastAsiaTheme="minorHAnsi" w:hAnsi="Calibri"/>
      <w:sz w:val="22"/>
    </w:rPr>
  </w:style>
  <w:style w:type="character" w:customStyle="1" w:styleId="RentekstTegn">
    <w:name w:val="Ren tekst Tegn"/>
    <w:basedOn w:val="Standardskriftforavsnitt"/>
    <w:link w:val="Rentekst"/>
    <w:uiPriority w:val="99"/>
    <w:rsid w:val="000927C2"/>
    <w:rPr>
      <w:rFonts w:ascii="Calibri" w:eastAsiaTheme="minorHAnsi" w:hAnsi="Calibri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6E53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538E"/>
  </w:style>
  <w:style w:type="paragraph" w:styleId="Bunntekst">
    <w:name w:val="footer"/>
    <w:basedOn w:val="Normal"/>
    <w:link w:val="BunntekstTegn"/>
    <w:uiPriority w:val="99"/>
    <w:unhideWhenUsed/>
    <w:rsid w:val="006E53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538E"/>
  </w:style>
  <w:style w:type="table" w:styleId="Tabellrutenett">
    <w:name w:val="Table Grid"/>
    <w:basedOn w:val="Vanligtabell"/>
    <w:uiPriority w:val="39"/>
    <w:rsid w:val="0067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2.brreg.no/enhet/sok/detalj.jsp?orgnr=991498281" TargetMode="External"/><Relationship Id="rId2" Type="http://schemas.openxmlformats.org/officeDocument/2006/relationships/hyperlink" Target="http://w2.brreg.no/enhet/sok/detalj.jsp?orgnr=948057379" TargetMode="External"/><Relationship Id="rId1" Type="http://schemas.openxmlformats.org/officeDocument/2006/relationships/hyperlink" Target="http://w2.brreg.no/enhet/sok/detalj.jsp?orgnr=91266068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6D66-E8E5-4D93-9885-D0E54F7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 Arild Oppedal</dc:creator>
  <cp:keywords/>
  <dc:description/>
  <cp:lastModifiedBy>Margaretha Hamrin</cp:lastModifiedBy>
  <cp:revision>2</cp:revision>
  <dcterms:created xsi:type="dcterms:W3CDTF">2017-02-23T13:19:00Z</dcterms:created>
  <dcterms:modified xsi:type="dcterms:W3CDTF">2017-02-23T13:19:00Z</dcterms:modified>
</cp:coreProperties>
</file>